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911"/>
        <w:tblW w:w="0" w:type="auto"/>
        <w:tblLook w:val="04A0" w:firstRow="1" w:lastRow="0" w:firstColumn="1" w:lastColumn="0" w:noHBand="0" w:noVBand="1"/>
      </w:tblPr>
      <w:tblGrid>
        <w:gridCol w:w="8494"/>
      </w:tblGrid>
      <w:tr w:rsidR="00067DDD" w:rsidRPr="00484826" w:rsidTr="00484F13">
        <w:trPr>
          <w:trHeight w:val="620"/>
        </w:trPr>
        <w:tc>
          <w:tcPr>
            <w:tcW w:w="8494" w:type="dxa"/>
          </w:tcPr>
          <w:p w:rsidR="00067DDD" w:rsidRPr="00067DDD" w:rsidRDefault="00067DDD" w:rsidP="00067DDD">
            <w:pPr>
              <w:widowControl/>
              <w:shd w:val="clear" w:color="auto" w:fill="FFFFFF"/>
              <w:spacing w:before="100" w:beforeAutospacing="1" w:after="150"/>
              <w:ind w:left="720"/>
              <w:jc w:val="center"/>
              <w:rPr>
                <w:rFonts w:ascii="Arial" w:eastAsia="ＭＳ Ｐゴシック" w:hAnsi="Arial" w:cs="Arial" w:hint="eastAsia"/>
                <w:color w:val="111111"/>
                <w:kern w:val="0"/>
                <w:sz w:val="24"/>
                <w:szCs w:val="24"/>
              </w:rPr>
            </w:pPr>
            <w:r w:rsidRPr="00067DDD">
              <w:rPr>
                <w:rFonts w:ascii="Arial" w:eastAsia="ＭＳ Ｐゴシック" w:hAnsi="Arial" w:cs="Arial"/>
                <w:b/>
                <w:bCs/>
                <w:color w:val="111111"/>
                <w:kern w:val="0"/>
                <w:sz w:val="24"/>
                <w:szCs w:val="24"/>
              </w:rPr>
              <w:t>良好な摂食環境</w:t>
            </w:r>
          </w:p>
        </w:tc>
      </w:tr>
      <w:tr w:rsidR="00067DDD" w:rsidRPr="00484826" w:rsidTr="00484F13">
        <w:trPr>
          <w:trHeight w:val="4504"/>
        </w:trPr>
        <w:tc>
          <w:tcPr>
            <w:tcW w:w="8494" w:type="dxa"/>
          </w:tcPr>
          <w:p w:rsidR="00067DDD" w:rsidRPr="00484826" w:rsidRDefault="00067DDD" w:rsidP="00484F13">
            <w:pPr>
              <w:rPr>
                <w:rFonts w:asciiTheme="minorEastAsia" w:hAnsiTheme="minorEastAsia" w:cstheme="majorHAnsi"/>
                <w:szCs w:val="21"/>
              </w:rPr>
            </w:pPr>
            <w:r w:rsidRPr="00484826">
              <w:rPr>
                <w:rFonts w:asciiTheme="minorEastAsia" w:hAnsiTheme="minorEastAsia" w:cstheme="majorHAnsi"/>
                <w:szCs w:val="21"/>
              </w:rPr>
              <w:t>食事は栄養を取ることの他に、生活上の楽しみでもあります。食事を強みとすることで集客アップにもつながります。</w:t>
            </w:r>
          </w:p>
          <w:p w:rsidR="00067DDD" w:rsidRPr="00484826" w:rsidRDefault="00067DDD" w:rsidP="00484F13">
            <w:pPr>
              <w:rPr>
                <w:rFonts w:asciiTheme="minorEastAsia" w:hAnsiTheme="minorEastAsia" w:cstheme="majorHAnsi"/>
                <w:szCs w:val="21"/>
              </w:rPr>
            </w:pPr>
          </w:p>
          <w:p w:rsidR="00067DDD" w:rsidRPr="0069622B" w:rsidRDefault="00067DDD" w:rsidP="00484F13">
            <w:pPr>
              <w:rPr>
                <w:rFonts w:asciiTheme="minorEastAsia" w:hAnsiTheme="minorEastAsia" w:cstheme="majorHAnsi"/>
                <w:szCs w:val="21"/>
              </w:rPr>
            </w:pPr>
            <w:r w:rsidRPr="0069622B">
              <w:rPr>
                <w:rFonts w:asciiTheme="minorEastAsia" w:hAnsiTheme="minorEastAsia" w:cstheme="majorHAnsi"/>
                <w:szCs w:val="21"/>
              </w:rPr>
              <w:t>マルハチ村松のハンディブロスは非常に風味の良い液体だしです。完全調理品のグレードアップや風味ロスの改善、また、施設内で調理する汁ものの風味をアップし、利用者の満足度アップにつながります。美味しい食事をしっかり食べて満足していただくことで利用者の自立支援に</w:t>
            </w:r>
            <w:r>
              <w:rPr>
                <w:rFonts w:asciiTheme="minorEastAsia" w:hAnsiTheme="minorEastAsia" w:cstheme="majorHAnsi" w:hint="eastAsia"/>
                <w:szCs w:val="21"/>
              </w:rPr>
              <w:t>繋げます。</w:t>
            </w:r>
          </w:p>
          <w:p w:rsidR="00067DDD" w:rsidRPr="00484826" w:rsidRDefault="00067DDD" w:rsidP="00484F13">
            <w:pPr>
              <w:rPr>
                <w:rFonts w:asciiTheme="minorEastAsia" w:hAnsiTheme="minorEastAsia" w:cstheme="majorHAnsi"/>
                <w:szCs w:val="21"/>
              </w:rPr>
            </w:pPr>
            <w:r>
              <w:rPr>
                <w:rFonts w:asciiTheme="minorEastAsia" w:hAnsiTheme="minorEastAsia" w:cstheme="majorHAnsi"/>
                <w:szCs w:val="21"/>
              </w:rPr>
              <w:t>フクシマガリレイの新調理</w:t>
            </w:r>
            <w:r w:rsidRPr="00484826">
              <w:rPr>
                <w:rFonts w:asciiTheme="minorEastAsia" w:hAnsiTheme="minorEastAsia" w:cstheme="majorHAnsi"/>
                <w:szCs w:val="21"/>
              </w:rPr>
              <w:t>により、食事提供のバリエーションが増え、入居者の選択肢の増加、選ぶ楽しみ・美味しく食べる楽しみの「食事」を売りにできます。さらにスタッフの負担軽減も図れることで、利用者との時間を多くとれます。</w:t>
            </w:r>
          </w:p>
          <w:p w:rsidR="00067DDD" w:rsidRPr="00484826" w:rsidRDefault="00067DDD" w:rsidP="00484F13">
            <w:pPr>
              <w:rPr>
                <w:rFonts w:asciiTheme="minorEastAsia" w:hAnsiTheme="minorEastAsia" w:cstheme="majorHAnsi"/>
                <w:szCs w:val="21"/>
              </w:rPr>
            </w:pPr>
            <w:r w:rsidRPr="00484826">
              <w:rPr>
                <w:rFonts w:asciiTheme="minorEastAsia" w:hAnsiTheme="minorEastAsia" w:cstheme="majorHAnsi"/>
                <w:szCs w:val="21"/>
              </w:rPr>
              <w:t>高輪会の専門的な口腔ケアにより、口腔内の摂食環境を整え、食べる楽しみを増やします。食形態の向上、摂食量の増加により栄養状態も改善、それに伴い身体的機能も改善に向かいます。</w:t>
            </w:r>
          </w:p>
          <w:p w:rsidR="00067DDD" w:rsidRPr="00484826" w:rsidRDefault="00EE0988" w:rsidP="00484F13">
            <w:pPr>
              <w:rPr>
                <w:rFonts w:asciiTheme="minorEastAsia" w:hAnsiTheme="minorEastAsia" w:cstheme="majorHAnsi"/>
                <w:szCs w:val="21"/>
              </w:rPr>
            </w:pPr>
            <w:r>
              <w:rPr>
                <w:rFonts w:asciiTheme="minorEastAsia" w:hAnsiTheme="minorEastAsia" w:cstheme="majorHAnsi" w:hint="eastAsia"/>
                <w:szCs w:val="21"/>
              </w:rPr>
              <w:t>メンバー企業</w:t>
            </w:r>
            <w:r w:rsidR="00067DDD" w:rsidRPr="00484826">
              <w:rPr>
                <w:rFonts w:asciiTheme="minorEastAsia" w:hAnsiTheme="minorEastAsia" w:cstheme="majorHAnsi" w:hint="eastAsia"/>
                <w:szCs w:val="21"/>
              </w:rPr>
              <w:t>：</w:t>
            </w:r>
            <w:r w:rsidR="00067DDD" w:rsidRPr="00AB4D62">
              <w:rPr>
                <w:rFonts w:asciiTheme="majorEastAsia" w:eastAsiaTheme="majorEastAsia" w:hAnsiTheme="majorEastAsia" w:cstheme="majorHAnsi" w:hint="eastAsia"/>
                <w:b/>
                <w:sz w:val="22"/>
                <w:szCs w:val="21"/>
                <w:shd w:val="pct15" w:color="auto" w:fill="FFFFFF"/>
              </w:rPr>
              <w:t>フクシマガリレイ、マルハチ村松、高輪会</w:t>
            </w:r>
          </w:p>
        </w:tc>
      </w:tr>
    </w:tbl>
    <w:p w:rsidR="00E23D36" w:rsidRPr="00EE0988" w:rsidRDefault="00E23D36">
      <w:bookmarkStart w:id="0" w:name="_GoBack"/>
      <w:bookmarkEnd w:id="0"/>
    </w:p>
    <w:sectPr w:rsidR="00E23D36" w:rsidRPr="00EE09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F729D"/>
    <w:multiLevelType w:val="multilevel"/>
    <w:tmpl w:val="83EA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DD"/>
    <w:rsid w:val="00067DDD"/>
    <w:rsid w:val="00E23D36"/>
    <w:rsid w:val="00EE0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0CC3A2-1D0A-4975-BFDB-986A7709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D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67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33678">
      <w:bodyDiv w:val="1"/>
      <w:marLeft w:val="0"/>
      <w:marRight w:val="0"/>
      <w:marTop w:val="0"/>
      <w:marBottom w:val="0"/>
      <w:divBdr>
        <w:top w:val="none" w:sz="0" w:space="0" w:color="auto"/>
        <w:left w:val="none" w:sz="0" w:space="0" w:color="auto"/>
        <w:bottom w:val="none" w:sz="0" w:space="0" w:color="auto"/>
        <w:right w:val="none" w:sz="0" w:space="0" w:color="auto"/>
      </w:divBdr>
    </w:div>
    <w:div w:id="20428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RAJAN-PC</dc:creator>
  <cp:keywords/>
  <dc:description/>
  <cp:lastModifiedBy>RAJAN-PC</cp:lastModifiedBy>
  <cp:revision>2</cp:revision>
  <dcterms:created xsi:type="dcterms:W3CDTF">2023-01-04T05:55:00Z</dcterms:created>
  <dcterms:modified xsi:type="dcterms:W3CDTF">2023-01-04T06:01:00Z</dcterms:modified>
</cp:coreProperties>
</file>